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78E2" w14:textId="6293E86D" w:rsidR="0012209D" w:rsidRDefault="00D42B36" w:rsidP="0012209D">
      <w:r>
        <w:t>Last update</w:t>
      </w:r>
      <w:r w:rsidR="00C47485">
        <w:t xml:space="preserve">   </w:t>
      </w:r>
      <w:r w:rsidR="00563308">
        <w:t>July 2024</w:t>
      </w:r>
    </w:p>
    <w:p w14:paraId="66C04227" w14:textId="77777777" w:rsidR="00D42B36" w:rsidRDefault="00D42B36" w:rsidP="0012209D"/>
    <w:p w14:paraId="78B6BA04" w14:textId="77777777" w:rsidR="00D42B36" w:rsidRDefault="00D42B36" w:rsidP="0012209D">
      <w:r>
        <w:t>JOB DESCRIPTION</w:t>
      </w:r>
    </w:p>
    <w:p w14:paraId="150B2238" w14:textId="77777777" w:rsidR="00D42B36" w:rsidRDefault="00D42B3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23AF463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72C6E12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2E879D6E" w14:textId="77777777" w:rsidR="0012209D" w:rsidRPr="00447FD8" w:rsidRDefault="00207BF2" w:rsidP="006807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Special Collections </w:t>
            </w:r>
            <w:r w:rsidR="00E63EAD">
              <w:rPr>
                <w:b/>
                <w:bCs/>
              </w:rPr>
              <w:t>Receptionist</w:t>
            </w:r>
          </w:p>
        </w:tc>
      </w:tr>
      <w:tr w:rsidR="00D42B36" w:rsidRPr="00D42B36" w14:paraId="0FDA7B1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625DA91" w14:textId="77777777" w:rsidR="00D42B36" w:rsidRPr="00D42B36" w:rsidRDefault="00D42B36" w:rsidP="00321CAA">
            <w:pPr>
              <w:rPr>
                <w:lang w:val="fr-FR"/>
              </w:rPr>
            </w:pPr>
            <w:r w:rsidRPr="00D42B36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53EA8B1" w14:textId="77777777" w:rsidR="00D42B36" w:rsidRPr="00D42B36" w:rsidRDefault="00D42B36" w:rsidP="00321CAA">
            <w:pPr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</w:tr>
      <w:tr w:rsidR="0012209D" w14:paraId="0EE4A79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BB13E08" w14:textId="77777777" w:rsidR="0012209D" w:rsidRDefault="00D42B36" w:rsidP="00321CAA">
            <w:r>
              <w:t>School/Department</w:t>
            </w:r>
          </w:p>
        </w:tc>
        <w:tc>
          <w:tcPr>
            <w:tcW w:w="7226" w:type="dxa"/>
            <w:gridSpan w:val="3"/>
          </w:tcPr>
          <w:p w14:paraId="69A58B7A" w14:textId="77777777" w:rsidR="0012209D" w:rsidRDefault="00B271EE" w:rsidP="00321CAA">
            <w:r>
              <w:t>Library</w:t>
            </w:r>
          </w:p>
        </w:tc>
      </w:tr>
      <w:tr w:rsidR="006F44EB" w14:paraId="40DE27C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4FEA871" w14:textId="77777777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6890EDA9" w14:textId="77777777" w:rsidR="006F44EB" w:rsidRDefault="00B271EE" w:rsidP="00321CAA">
            <w:r>
              <w:t>Professional Services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AFA5AEB" w14:textId="77777777" w:rsidR="006F44EB" w:rsidRDefault="006F44EB" w:rsidP="00321CAA"/>
        </w:tc>
        <w:tc>
          <w:tcPr>
            <w:tcW w:w="2054" w:type="dxa"/>
          </w:tcPr>
          <w:p w14:paraId="117E99C7" w14:textId="77777777" w:rsidR="006F44EB" w:rsidRDefault="006F44EB" w:rsidP="00321CAA"/>
        </w:tc>
      </w:tr>
      <w:tr w:rsidR="0012209D" w14:paraId="730AE31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5A9F2BD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03D1FB87" w14:textId="77777777" w:rsidR="0012209D" w:rsidRDefault="00B271EE" w:rsidP="00321CAA">
            <w:r>
              <w:t>MSA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9AB2CBB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26DFCEBD" w14:textId="77777777" w:rsidR="0012209D" w:rsidRDefault="0094620F" w:rsidP="00321CAA">
            <w:r>
              <w:t>1b</w:t>
            </w:r>
          </w:p>
        </w:tc>
      </w:tr>
      <w:tr w:rsidR="0012209D" w14:paraId="58F3E303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3B7505D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2A92B343" w14:textId="77777777" w:rsidR="0012209D" w:rsidRPr="005508A2" w:rsidRDefault="000F053B" w:rsidP="00321CAA">
            <w:r>
              <w:t>Archivist</w:t>
            </w:r>
            <w:r w:rsidR="00CA5A17">
              <w:t xml:space="preserve"> (Sarah Maspero)</w:t>
            </w:r>
          </w:p>
        </w:tc>
      </w:tr>
      <w:tr w:rsidR="0012209D" w14:paraId="3A189D6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F58C37B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2B5013E9" w14:textId="77777777" w:rsidR="0012209D" w:rsidRPr="005508A2" w:rsidRDefault="00B271EE" w:rsidP="00321CAA">
            <w:r>
              <w:t>None</w:t>
            </w:r>
          </w:p>
        </w:tc>
      </w:tr>
      <w:tr w:rsidR="0012209D" w14:paraId="79CA8EE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D5B1E08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0B9BF9CB" w14:textId="77777777" w:rsidR="0012209D" w:rsidRPr="005508A2" w:rsidRDefault="00B271EE" w:rsidP="00B271EE">
            <w:r>
              <w:t>Office-based</w:t>
            </w:r>
          </w:p>
        </w:tc>
      </w:tr>
    </w:tbl>
    <w:p w14:paraId="6AD9098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67C24A43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2350A478" w14:textId="77777777" w:rsidR="0012209D" w:rsidRDefault="0012209D" w:rsidP="00321CAA">
            <w:r>
              <w:t>Job purpose</w:t>
            </w:r>
          </w:p>
        </w:tc>
      </w:tr>
      <w:tr w:rsidR="0012209D" w14:paraId="77B53582" w14:textId="77777777" w:rsidTr="00321CAA">
        <w:trPr>
          <w:trHeight w:val="1134"/>
        </w:trPr>
        <w:tc>
          <w:tcPr>
            <w:tcW w:w="10137" w:type="dxa"/>
          </w:tcPr>
          <w:p w14:paraId="23A7CECC" w14:textId="77777777" w:rsidR="00F73308" w:rsidRPr="00207BF2" w:rsidRDefault="0094620F" w:rsidP="0094620F">
            <w:pPr>
              <w:rPr>
                <w:szCs w:val="18"/>
              </w:rPr>
            </w:pPr>
            <w:r>
              <w:rPr>
                <w:rFonts w:cs="Verdana"/>
                <w:color w:val="000000"/>
                <w:szCs w:val="18"/>
                <w:lang w:eastAsia="zh-CN"/>
              </w:rPr>
              <w:t>To deliver Archives and Rare Books</w:t>
            </w:r>
            <w:r w:rsidRPr="004E0989">
              <w:rPr>
                <w:rFonts w:cs="Verdana"/>
                <w:color w:val="000000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cs="Verdana"/>
                <w:color w:val="000000"/>
                <w:szCs w:val="18"/>
                <w:lang w:eastAsia="zh-CN"/>
              </w:rPr>
              <w:t>searchroom</w:t>
            </w:r>
            <w:proofErr w:type="spellEnd"/>
            <w:r>
              <w:rPr>
                <w:rFonts w:cs="Verdana"/>
                <w:color w:val="000000"/>
                <w:szCs w:val="18"/>
                <w:lang w:eastAsia="zh-CN"/>
              </w:rPr>
              <w:t xml:space="preserve"> services to readers</w:t>
            </w:r>
            <w:r w:rsidRPr="004E0989">
              <w:rPr>
                <w:rFonts w:cs="Verdana"/>
                <w:color w:val="000000"/>
                <w:szCs w:val="18"/>
                <w:lang w:eastAsia="zh-CN"/>
              </w:rPr>
              <w:t xml:space="preserve">, offering help and advice appropriate to the needs of each individual </w:t>
            </w:r>
            <w:r>
              <w:rPr>
                <w:rFonts w:cs="Verdana"/>
                <w:color w:val="000000"/>
                <w:szCs w:val="18"/>
                <w:lang w:eastAsia="zh-CN"/>
              </w:rPr>
              <w:t>to agreed procedures and quality standards to maximise</w:t>
            </w:r>
            <w:r w:rsidR="000D6808">
              <w:rPr>
                <w:rFonts w:cs="Verdana"/>
                <w:color w:val="000000"/>
                <w:szCs w:val="18"/>
                <w:lang w:eastAsia="zh-CN"/>
              </w:rPr>
              <w:t xml:space="preserve"> service quality and continuity.</w:t>
            </w:r>
          </w:p>
        </w:tc>
      </w:tr>
    </w:tbl>
    <w:p w14:paraId="7DD2AE6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7"/>
        <w:gridCol w:w="8117"/>
        <w:gridCol w:w="1027"/>
      </w:tblGrid>
      <w:tr w:rsidR="0012209D" w14:paraId="7C6F23B3" w14:textId="77777777" w:rsidTr="009D4FD7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67A11D2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40A5BC3" w14:textId="77777777" w:rsidR="0012209D" w:rsidRDefault="0012209D" w:rsidP="00321CAA">
            <w:r>
              <w:t>% Time</w:t>
            </w:r>
          </w:p>
        </w:tc>
      </w:tr>
      <w:tr w:rsidR="009D4FD7" w14:paraId="6B98F09B" w14:textId="77777777" w:rsidTr="009D4FD7">
        <w:tc>
          <w:tcPr>
            <w:tcW w:w="607" w:type="dxa"/>
            <w:tcBorders>
              <w:right w:val="nil"/>
            </w:tcBorders>
          </w:tcPr>
          <w:p w14:paraId="4EB97E64" w14:textId="77777777" w:rsidR="0012209D" w:rsidRPr="000F053B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3D329F9D" w14:textId="77777777" w:rsidR="0012209D" w:rsidRPr="000F053B" w:rsidRDefault="0094620F" w:rsidP="0031549E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To deliver Archives and Rare Books </w:t>
            </w:r>
            <w:proofErr w:type="spellStart"/>
            <w:r>
              <w:rPr>
                <w:szCs w:val="18"/>
              </w:rPr>
              <w:t>searchroom</w:t>
            </w:r>
            <w:proofErr w:type="spellEnd"/>
            <w:r>
              <w:rPr>
                <w:szCs w:val="18"/>
              </w:rPr>
              <w:t xml:space="preserve"> services</w:t>
            </w:r>
            <w:r w:rsidR="00EA62BD">
              <w:rPr>
                <w:szCs w:val="18"/>
              </w:rPr>
              <w:t xml:space="preserve"> according to set procedures and security requirements</w:t>
            </w:r>
            <w:r w:rsidR="003D263E">
              <w:rPr>
                <w:szCs w:val="18"/>
              </w:rPr>
              <w:t>: receiving reader</w:t>
            </w:r>
            <w:r>
              <w:rPr>
                <w:szCs w:val="18"/>
              </w:rPr>
              <w:t>s</w:t>
            </w:r>
            <w:r w:rsidR="00E35DA8">
              <w:rPr>
                <w:szCs w:val="18"/>
              </w:rPr>
              <w:t>; answering general enquiries about procedure and</w:t>
            </w:r>
            <w:r>
              <w:rPr>
                <w:szCs w:val="18"/>
              </w:rPr>
              <w:t xml:space="preserve"> general information about </w:t>
            </w:r>
            <w:r w:rsidR="00EA62BD">
              <w:rPr>
                <w:szCs w:val="18"/>
              </w:rPr>
              <w:t>the Special Collections and holdings</w:t>
            </w:r>
            <w:r w:rsidR="00E35DA8">
              <w:rPr>
                <w:szCs w:val="18"/>
              </w:rPr>
              <w:t>;</w:t>
            </w:r>
            <w:r w:rsidR="000D6808">
              <w:rPr>
                <w:szCs w:val="18"/>
              </w:rPr>
              <w:t xml:space="preserve"> </w:t>
            </w:r>
            <w:r w:rsidR="0031549E">
              <w:rPr>
                <w:szCs w:val="18"/>
              </w:rPr>
              <w:t xml:space="preserve">and routine security tasks </w:t>
            </w:r>
          </w:p>
        </w:tc>
        <w:tc>
          <w:tcPr>
            <w:tcW w:w="1027" w:type="dxa"/>
          </w:tcPr>
          <w:p w14:paraId="5A222958" w14:textId="77777777" w:rsidR="0012209D" w:rsidRDefault="0031549E" w:rsidP="00321CAA">
            <w:r>
              <w:t>60</w:t>
            </w:r>
            <w:r w:rsidR="00E804B0">
              <w:t xml:space="preserve"> %</w:t>
            </w:r>
          </w:p>
        </w:tc>
      </w:tr>
      <w:tr w:rsidR="009D4FD7" w14:paraId="25459355" w14:textId="77777777" w:rsidTr="009D4FD7">
        <w:tc>
          <w:tcPr>
            <w:tcW w:w="607" w:type="dxa"/>
            <w:tcBorders>
              <w:right w:val="nil"/>
            </w:tcBorders>
          </w:tcPr>
          <w:p w14:paraId="655349C4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4741CDED" w14:textId="77777777" w:rsidR="00207BF2" w:rsidRPr="00207BF2" w:rsidRDefault="000D6808" w:rsidP="0094620F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>
              <w:rPr>
                <w:szCs w:val="18"/>
              </w:rPr>
              <w:t>To contribute to the Archive listing projects according to set standards and to make effective use of the Archives Management System and Library Management System to deliver a range of services for Special Collections</w:t>
            </w:r>
          </w:p>
        </w:tc>
        <w:tc>
          <w:tcPr>
            <w:tcW w:w="1027" w:type="dxa"/>
          </w:tcPr>
          <w:p w14:paraId="4285E240" w14:textId="77777777" w:rsidR="0012209D" w:rsidRDefault="0094620F" w:rsidP="00321CAA">
            <w:r>
              <w:t>20</w:t>
            </w:r>
            <w:r w:rsidR="00E804B0">
              <w:t xml:space="preserve"> %</w:t>
            </w:r>
          </w:p>
        </w:tc>
      </w:tr>
      <w:tr w:rsidR="009D4FD7" w14:paraId="5BBBC6E5" w14:textId="77777777" w:rsidTr="009D4FD7">
        <w:tc>
          <w:tcPr>
            <w:tcW w:w="607" w:type="dxa"/>
            <w:tcBorders>
              <w:right w:val="nil"/>
            </w:tcBorders>
          </w:tcPr>
          <w:p w14:paraId="7931F4CC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0C893CE9" w14:textId="77777777" w:rsidR="0012209D" w:rsidRDefault="000D6808" w:rsidP="003D263E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>
              <w:rPr>
                <w:szCs w:val="18"/>
              </w:rPr>
              <w:t xml:space="preserve">To provide support services for Special Collections, including </w:t>
            </w:r>
            <w:r w:rsidR="0031549E">
              <w:rPr>
                <w:szCs w:val="18"/>
              </w:rPr>
              <w:t>repackaging of collections and</w:t>
            </w:r>
            <w:r>
              <w:rPr>
                <w:szCs w:val="18"/>
              </w:rPr>
              <w:t xml:space="preserve"> </w:t>
            </w:r>
            <w:r w:rsidRPr="00207BF2">
              <w:rPr>
                <w:szCs w:val="18"/>
              </w:rPr>
              <w:t>the production of archive and pri</w:t>
            </w:r>
            <w:r>
              <w:rPr>
                <w:szCs w:val="18"/>
              </w:rPr>
              <w:t>nted material from secure stack following standard procedures in Special Collections</w:t>
            </w:r>
            <w:r w:rsidR="0031549E">
              <w:rPr>
                <w:szCs w:val="18"/>
              </w:rPr>
              <w:t xml:space="preserve"> </w:t>
            </w:r>
            <w:r w:rsidR="003D263E">
              <w:rPr>
                <w:szCs w:val="18"/>
              </w:rPr>
              <w:t xml:space="preserve">and checking </w:t>
            </w:r>
            <w:r w:rsidR="0031549E">
              <w:rPr>
                <w:szCs w:val="18"/>
              </w:rPr>
              <w:t xml:space="preserve">and </w:t>
            </w:r>
            <w:r w:rsidR="003D263E">
              <w:rPr>
                <w:szCs w:val="18"/>
              </w:rPr>
              <w:t>processing donations to printed collections</w:t>
            </w:r>
          </w:p>
          <w:p w14:paraId="07F2616F" w14:textId="77777777" w:rsidR="00836139" w:rsidRPr="00207BF2" w:rsidRDefault="00836139" w:rsidP="003D263E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>
              <w:rPr>
                <w:szCs w:val="18"/>
              </w:rPr>
              <w:t>To provide administrative support to contribute to the effective operation of the Special Collections</w:t>
            </w:r>
          </w:p>
        </w:tc>
        <w:tc>
          <w:tcPr>
            <w:tcW w:w="1027" w:type="dxa"/>
          </w:tcPr>
          <w:p w14:paraId="789087EF" w14:textId="77777777" w:rsidR="0012209D" w:rsidRDefault="004D7284" w:rsidP="00321CAA">
            <w:r>
              <w:t>1</w:t>
            </w:r>
            <w:r w:rsidR="0031549E">
              <w:t>5</w:t>
            </w:r>
            <w:r w:rsidR="00E804B0">
              <w:t xml:space="preserve"> %</w:t>
            </w:r>
          </w:p>
        </w:tc>
      </w:tr>
      <w:tr w:rsidR="00C47485" w14:paraId="7CB8D38E" w14:textId="77777777" w:rsidTr="009D4FD7">
        <w:tc>
          <w:tcPr>
            <w:tcW w:w="607" w:type="dxa"/>
            <w:tcBorders>
              <w:right w:val="nil"/>
            </w:tcBorders>
          </w:tcPr>
          <w:p w14:paraId="4DCA2EC2" w14:textId="77777777" w:rsidR="00C47485" w:rsidRDefault="00C47485" w:rsidP="009D4FD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6070B412" w14:textId="77777777" w:rsidR="00C47485" w:rsidRPr="004D7284" w:rsidRDefault="00C47485" w:rsidP="004D7284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szCs w:val="18"/>
              </w:rPr>
              <w:t>To undertake any such other Library duties as may reasonably be assigned, including participation in rotas for evening and weekend duties, as required.</w:t>
            </w:r>
          </w:p>
        </w:tc>
        <w:tc>
          <w:tcPr>
            <w:tcW w:w="1027" w:type="dxa"/>
          </w:tcPr>
          <w:p w14:paraId="5EB91072" w14:textId="77777777" w:rsidR="00C47485" w:rsidRDefault="00C47485" w:rsidP="009D4FD7">
            <w:r>
              <w:t>5%</w:t>
            </w:r>
          </w:p>
        </w:tc>
      </w:tr>
    </w:tbl>
    <w:p w14:paraId="5998EF3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479286B1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B1ECC5A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5F9B3DCE" w14:textId="77777777" w:rsidTr="00321CAA">
        <w:trPr>
          <w:trHeight w:val="1134"/>
        </w:trPr>
        <w:tc>
          <w:tcPr>
            <w:tcW w:w="10137" w:type="dxa"/>
          </w:tcPr>
          <w:p w14:paraId="5B4600A7" w14:textId="77777777" w:rsidR="0012209D" w:rsidRDefault="00721B1E" w:rsidP="009D4FD7">
            <w:r>
              <w:t>Other members of the department</w:t>
            </w:r>
          </w:p>
          <w:p w14:paraId="2793E408" w14:textId="77777777" w:rsidR="00721B1E" w:rsidRDefault="00721B1E" w:rsidP="009D4FD7">
            <w:r>
              <w:t>Staff and students from the University</w:t>
            </w:r>
          </w:p>
          <w:p w14:paraId="6F9FC6D1" w14:textId="77777777" w:rsidR="00721B1E" w:rsidRDefault="00721B1E" w:rsidP="003D263E">
            <w:r>
              <w:t>External users of collections and stakeholders</w:t>
            </w:r>
          </w:p>
        </w:tc>
      </w:tr>
    </w:tbl>
    <w:p w14:paraId="619EE7AB" w14:textId="77777777" w:rsidR="0012209D" w:rsidRDefault="0012209D" w:rsidP="0012209D"/>
    <w:p w14:paraId="282A712D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9D4FD7" w14:paraId="0406DC34" w14:textId="77777777" w:rsidTr="00F1289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F448DF5" w14:textId="77777777" w:rsidR="009D4FD7" w:rsidRDefault="009D4FD7" w:rsidP="00F12899">
            <w:r>
              <w:t>Special Requirements</w:t>
            </w:r>
          </w:p>
        </w:tc>
      </w:tr>
      <w:tr w:rsidR="009D4FD7" w14:paraId="5C90242E" w14:textId="77777777" w:rsidTr="00F12899">
        <w:trPr>
          <w:trHeight w:val="1134"/>
        </w:trPr>
        <w:tc>
          <w:tcPr>
            <w:tcW w:w="10137" w:type="dxa"/>
          </w:tcPr>
          <w:p w14:paraId="163A7575" w14:textId="77777777" w:rsidR="00721B1E" w:rsidRDefault="00721B1E" w:rsidP="00F12899">
            <w:r>
              <w:t>Physically active and able to move and lift collections</w:t>
            </w:r>
          </w:p>
          <w:p w14:paraId="5BB8D6AE" w14:textId="77777777" w:rsidR="00721B1E" w:rsidRDefault="00721B1E" w:rsidP="00F12899">
            <w:r>
              <w:t>Working as part of a team in a secure environment.</w:t>
            </w:r>
          </w:p>
          <w:p w14:paraId="5D10AE7F" w14:textId="77777777" w:rsidR="009D4FD7" w:rsidRDefault="00FA2B56" w:rsidP="00F12899">
            <w:pPr>
              <w:rPr>
                <w:szCs w:val="18"/>
              </w:rPr>
            </w:pPr>
            <w:r>
              <w:rPr>
                <w:szCs w:val="18"/>
              </w:rPr>
              <w:t>Occasional requirements to work outside normal working hours (which may include evenings or weekends) in negotiation with your line manager.</w:t>
            </w:r>
          </w:p>
          <w:p w14:paraId="64031D72" w14:textId="77777777" w:rsidR="00721B1E" w:rsidRDefault="00721B1E" w:rsidP="00F12899">
            <w:pPr>
              <w:rPr>
                <w:szCs w:val="18"/>
              </w:rPr>
            </w:pPr>
            <w:r>
              <w:rPr>
                <w:szCs w:val="18"/>
              </w:rPr>
              <w:t>Post holders may be asked to work at another campus location to support the delivery of their role and maintain library operations, following consultation with your line manager.</w:t>
            </w:r>
          </w:p>
          <w:p w14:paraId="668D7A0D" w14:textId="77777777" w:rsidR="003D263E" w:rsidRDefault="003D263E" w:rsidP="00F12899"/>
        </w:tc>
      </w:tr>
    </w:tbl>
    <w:p w14:paraId="20C8E24A" w14:textId="77777777" w:rsidR="009D4FD7" w:rsidRDefault="009D4FD7" w:rsidP="0012209D">
      <w:pPr>
        <w:rPr>
          <w:b/>
          <w:bCs/>
          <w:sz w:val="22"/>
          <w:szCs w:val="24"/>
        </w:rPr>
      </w:pPr>
    </w:p>
    <w:p w14:paraId="559DE1BC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24E9D39F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71BECFE5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9684AF0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10F9A4C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9F4FE4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40C8C874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43072F8D" w14:textId="77777777" w:rsidTr="00013C10">
        <w:tc>
          <w:tcPr>
            <w:tcW w:w="1617" w:type="dxa"/>
          </w:tcPr>
          <w:p w14:paraId="403A8884" w14:textId="77777777" w:rsidR="00013C10" w:rsidRPr="00FD5B0E" w:rsidRDefault="00013C10" w:rsidP="00321CAA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0940167" w14:textId="26D22A78" w:rsidR="00223973" w:rsidRDefault="00CA11F7" w:rsidP="00557CFB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Reception experience </w:t>
            </w:r>
            <w:r w:rsidR="00563308">
              <w:rPr>
                <w:rFonts w:cs="Arial"/>
                <w:sz w:val="20"/>
              </w:rPr>
              <w:t xml:space="preserve">gained through training in a similar </w:t>
            </w:r>
            <w:proofErr w:type="gramStart"/>
            <w:r w:rsidR="00563308">
              <w:rPr>
                <w:rFonts w:cs="Arial"/>
                <w:sz w:val="20"/>
              </w:rPr>
              <w:t>role</w:t>
            </w:r>
            <w:proofErr w:type="gramEnd"/>
          </w:p>
          <w:p w14:paraId="028C53A8" w14:textId="77777777" w:rsidR="00563308" w:rsidRDefault="00563308" w:rsidP="00557CFB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</w:p>
          <w:p w14:paraId="1CC22179" w14:textId="541BA180" w:rsidR="00563308" w:rsidRDefault="00563308" w:rsidP="00557CFB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 to apply knowledge of established practices and procedures and awareness of customer needs.</w:t>
            </w:r>
          </w:p>
          <w:p w14:paraId="690690E6" w14:textId="77777777" w:rsidR="00557CFB" w:rsidRPr="00557CFB" w:rsidRDefault="00557CFB" w:rsidP="00557CFB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</w:p>
          <w:p w14:paraId="3BF1C882" w14:textId="702DF43A" w:rsidR="00557CFB" w:rsidRPr="00CA67F3" w:rsidRDefault="00557CFB" w:rsidP="00557CFB">
            <w:r>
              <w:t xml:space="preserve">Knowledge and understanding of digital systems and approaches to find, evaluate, create, </w:t>
            </w:r>
            <w:proofErr w:type="gramStart"/>
            <w:r>
              <w:t>collaborate</w:t>
            </w:r>
            <w:proofErr w:type="gramEnd"/>
            <w:r>
              <w:t xml:space="preserve"> and communicate. </w:t>
            </w:r>
          </w:p>
        </w:tc>
        <w:tc>
          <w:tcPr>
            <w:tcW w:w="3402" w:type="dxa"/>
          </w:tcPr>
          <w:p w14:paraId="45A5EDDB" w14:textId="06B1555E" w:rsidR="00EA62BD" w:rsidRDefault="00EA62BD" w:rsidP="00EA62BD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 in a</w:t>
            </w:r>
            <w:r w:rsidR="00432FA4">
              <w:rPr>
                <w:rFonts w:cs="Arial"/>
                <w:sz w:val="20"/>
              </w:rPr>
              <w:t xml:space="preserve">n </w:t>
            </w:r>
            <w:r>
              <w:rPr>
                <w:rFonts w:cs="Arial"/>
                <w:sz w:val="20"/>
              </w:rPr>
              <w:t xml:space="preserve">Archives </w:t>
            </w:r>
            <w:r w:rsidR="00432FA4">
              <w:rPr>
                <w:rFonts w:cs="Arial"/>
                <w:sz w:val="20"/>
              </w:rPr>
              <w:t xml:space="preserve">or Heritage </w:t>
            </w:r>
            <w:r>
              <w:rPr>
                <w:rFonts w:cs="Arial"/>
                <w:sz w:val="20"/>
              </w:rPr>
              <w:t>environment.</w:t>
            </w:r>
          </w:p>
          <w:p w14:paraId="09A2C11B" w14:textId="77777777" w:rsidR="00D37315" w:rsidRDefault="00D37315" w:rsidP="00CA67F3">
            <w:pPr>
              <w:overflowPunct/>
              <w:textAlignment w:val="auto"/>
              <w:rPr>
                <w:lang w:eastAsia="zh-CN"/>
              </w:rPr>
            </w:pPr>
          </w:p>
          <w:p w14:paraId="43D6D46B" w14:textId="77777777" w:rsidR="007A3192" w:rsidRDefault="00CA11F7" w:rsidP="00CA67F3">
            <w:pPr>
              <w:overflowPunct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GCSE or equivalent in English and maths</w:t>
            </w:r>
          </w:p>
          <w:p w14:paraId="239FDBC6" w14:textId="77777777" w:rsidR="007A3192" w:rsidRDefault="007A3192" w:rsidP="00CA67F3">
            <w:pPr>
              <w:overflowPunct/>
              <w:textAlignment w:val="auto"/>
              <w:rPr>
                <w:lang w:eastAsia="zh-CN"/>
              </w:rPr>
            </w:pPr>
          </w:p>
          <w:p w14:paraId="46BEF8AC" w14:textId="77777777" w:rsidR="00557CFB" w:rsidRDefault="00557CFB" w:rsidP="00CA67F3"/>
        </w:tc>
        <w:tc>
          <w:tcPr>
            <w:tcW w:w="1330" w:type="dxa"/>
          </w:tcPr>
          <w:p w14:paraId="2756ABBD" w14:textId="77777777" w:rsidR="00013C10" w:rsidRDefault="00223973" w:rsidP="0012209D">
            <w:r>
              <w:t>Interview</w:t>
            </w:r>
          </w:p>
        </w:tc>
      </w:tr>
      <w:tr w:rsidR="00CA11F7" w14:paraId="0ADD3A5A" w14:textId="77777777" w:rsidTr="00013C10">
        <w:tc>
          <w:tcPr>
            <w:tcW w:w="1617" w:type="dxa"/>
          </w:tcPr>
          <w:p w14:paraId="05B80F6A" w14:textId="77777777" w:rsidR="00CA11F7" w:rsidRPr="00FD5B0E" w:rsidRDefault="00CA11F7" w:rsidP="00321CAA">
            <w:r>
              <w:t>Planning and organising</w:t>
            </w:r>
          </w:p>
        </w:tc>
        <w:tc>
          <w:tcPr>
            <w:tcW w:w="3402" w:type="dxa"/>
          </w:tcPr>
          <w:p w14:paraId="01340B29" w14:textId="77777777" w:rsidR="00CA11F7" w:rsidRDefault="00CA11F7" w:rsidP="00CA11F7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 to carry out allocated tasks to time and to required standards</w:t>
            </w:r>
          </w:p>
          <w:p w14:paraId="449CD978" w14:textId="77777777" w:rsidR="00CA11F7" w:rsidRDefault="00CA11F7" w:rsidP="00557CFB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504FA590" w14:textId="77777777" w:rsidR="00CA11F7" w:rsidRDefault="00CA11F7" w:rsidP="00EA62BD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30" w:type="dxa"/>
          </w:tcPr>
          <w:p w14:paraId="1A8F69DE" w14:textId="77777777" w:rsidR="00CA11F7" w:rsidRDefault="00CA11F7" w:rsidP="0012209D"/>
        </w:tc>
      </w:tr>
      <w:tr w:rsidR="00013C10" w14:paraId="0A8A8173" w14:textId="77777777" w:rsidTr="00013C10">
        <w:tc>
          <w:tcPr>
            <w:tcW w:w="1617" w:type="dxa"/>
          </w:tcPr>
          <w:p w14:paraId="641433DC" w14:textId="77777777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6165C5B" w14:textId="77777777" w:rsidR="00013C10" w:rsidRDefault="00557CFB" w:rsidP="00CA11F7">
            <w:r>
              <w:t>Able to independently solve problems whilst w</w:t>
            </w:r>
            <w:r w:rsidR="00CA11F7">
              <w:t>orking with standard procedures and to know when to seek advice.</w:t>
            </w:r>
          </w:p>
          <w:p w14:paraId="52E1FC4E" w14:textId="77777777" w:rsidR="00CA11F7" w:rsidRDefault="00CA11F7" w:rsidP="00CA11F7"/>
          <w:p w14:paraId="42990FE2" w14:textId="77777777" w:rsidR="00CA11F7" w:rsidRDefault="00CA11F7" w:rsidP="00CA11F7">
            <w:r>
              <w:t>Able to undertake reception and administrative work without close supervision</w:t>
            </w:r>
          </w:p>
        </w:tc>
        <w:tc>
          <w:tcPr>
            <w:tcW w:w="3402" w:type="dxa"/>
          </w:tcPr>
          <w:p w14:paraId="050318E3" w14:textId="77777777" w:rsidR="00013C10" w:rsidRDefault="00013C10" w:rsidP="0012209D"/>
        </w:tc>
        <w:tc>
          <w:tcPr>
            <w:tcW w:w="1330" w:type="dxa"/>
          </w:tcPr>
          <w:p w14:paraId="62DE7063" w14:textId="77777777" w:rsidR="00013C10" w:rsidRDefault="00223973" w:rsidP="0012209D">
            <w:r>
              <w:t>Interview</w:t>
            </w:r>
          </w:p>
        </w:tc>
      </w:tr>
      <w:tr w:rsidR="00013C10" w14:paraId="01BE1B7E" w14:textId="77777777" w:rsidTr="00013C10">
        <w:tc>
          <w:tcPr>
            <w:tcW w:w="1617" w:type="dxa"/>
          </w:tcPr>
          <w:p w14:paraId="7E94D970" w14:textId="77777777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2F669486" w14:textId="77777777" w:rsidR="00013C10" w:rsidRDefault="00FA2B56" w:rsidP="00FA2B56">
            <w:pPr>
              <w:spacing w:after="90"/>
            </w:pPr>
            <w:r>
              <w:rPr>
                <w:lang w:eastAsia="zh-CN"/>
              </w:rPr>
              <w:t>Cooperative team working and participation in effective team collaborations to meet business need(s) requirements.</w:t>
            </w:r>
          </w:p>
        </w:tc>
        <w:tc>
          <w:tcPr>
            <w:tcW w:w="3402" w:type="dxa"/>
          </w:tcPr>
          <w:p w14:paraId="0D5CB5D2" w14:textId="77777777" w:rsidR="00013C10" w:rsidRDefault="00013C10" w:rsidP="0012209D"/>
        </w:tc>
        <w:tc>
          <w:tcPr>
            <w:tcW w:w="1330" w:type="dxa"/>
          </w:tcPr>
          <w:p w14:paraId="38B7E44C" w14:textId="77777777" w:rsidR="00013C10" w:rsidRDefault="00223973" w:rsidP="0012209D">
            <w:r>
              <w:t>Interview</w:t>
            </w:r>
          </w:p>
        </w:tc>
      </w:tr>
      <w:tr w:rsidR="00013C10" w14:paraId="0780E2D2" w14:textId="77777777" w:rsidTr="00013C10">
        <w:tc>
          <w:tcPr>
            <w:tcW w:w="1617" w:type="dxa"/>
          </w:tcPr>
          <w:p w14:paraId="7531691E" w14:textId="77777777" w:rsidR="00013C10" w:rsidRPr="00FD5B0E" w:rsidRDefault="00013C10" w:rsidP="00321CAA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39A9486" w14:textId="77777777" w:rsidR="00013C10" w:rsidRDefault="00557CFB" w:rsidP="000F78E7">
            <w:pPr>
              <w:rPr>
                <w:lang w:eastAsia="zh-CN"/>
              </w:rPr>
            </w:pPr>
            <w:r>
              <w:rPr>
                <w:lang w:eastAsia="zh-CN"/>
              </w:rPr>
              <w:t>Able to seek and clarify detail.</w:t>
            </w:r>
          </w:p>
          <w:p w14:paraId="5C407D05" w14:textId="77777777" w:rsidR="00557CFB" w:rsidRDefault="00557CFB" w:rsidP="000F78E7">
            <w:pPr>
              <w:rPr>
                <w:lang w:eastAsia="zh-CN"/>
              </w:rPr>
            </w:pPr>
          </w:p>
          <w:p w14:paraId="31090654" w14:textId="77777777" w:rsidR="00557CFB" w:rsidRDefault="00557CFB" w:rsidP="000F78E7">
            <w:r>
              <w:rPr>
                <w:lang w:eastAsia="zh-CN"/>
              </w:rPr>
              <w:t>Experience of a customer service environment.</w:t>
            </w:r>
          </w:p>
        </w:tc>
        <w:tc>
          <w:tcPr>
            <w:tcW w:w="3402" w:type="dxa"/>
          </w:tcPr>
          <w:p w14:paraId="4244925E" w14:textId="77777777" w:rsidR="00013C10" w:rsidRDefault="00013C10" w:rsidP="0012209D"/>
        </w:tc>
        <w:tc>
          <w:tcPr>
            <w:tcW w:w="1330" w:type="dxa"/>
          </w:tcPr>
          <w:p w14:paraId="5BAFEF6C" w14:textId="77777777" w:rsidR="00013C10" w:rsidRDefault="00223973" w:rsidP="0012209D">
            <w:r>
              <w:t>Interview</w:t>
            </w:r>
          </w:p>
        </w:tc>
      </w:tr>
      <w:tr w:rsidR="00557CFB" w14:paraId="3B699611" w14:textId="77777777" w:rsidTr="00013C10">
        <w:tc>
          <w:tcPr>
            <w:tcW w:w="1617" w:type="dxa"/>
          </w:tcPr>
          <w:p w14:paraId="768A4AEF" w14:textId="77777777" w:rsidR="00557CFB" w:rsidRPr="00FD5B0E" w:rsidRDefault="00557CFB" w:rsidP="00321CAA">
            <w:r>
              <w:lastRenderedPageBreak/>
              <w:t>Training and development</w:t>
            </w:r>
          </w:p>
        </w:tc>
        <w:tc>
          <w:tcPr>
            <w:tcW w:w="3402" w:type="dxa"/>
          </w:tcPr>
          <w:p w14:paraId="326998F4" w14:textId="77777777" w:rsidR="00557CFB" w:rsidRDefault="00557CFB" w:rsidP="000F78E7">
            <w:pPr>
              <w:rPr>
                <w:lang w:eastAsia="zh-CN"/>
              </w:rPr>
            </w:pPr>
            <w:r>
              <w:rPr>
                <w:lang w:eastAsia="zh-CN"/>
              </w:rPr>
              <w:t>To actively engage in a range of training and development opportunities and to be an active participant in developing skills and knowledge, engaging with the wider team and the University.</w:t>
            </w:r>
          </w:p>
        </w:tc>
        <w:tc>
          <w:tcPr>
            <w:tcW w:w="3402" w:type="dxa"/>
          </w:tcPr>
          <w:p w14:paraId="181D924C" w14:textId="77777777" w:rsidR="00557CFB" w:rsidRDefault="00557CFB" w:rsidP="0012209D"/>
        </w:tc>
        <w:tc>
          <w:tcPr>
            <w:tcW w:w="1330" w:type="dxa"/>
          </w:tcPr>
          <w:p w14:paraId="4182364A" w14:textId="77777777" w:rsidR="00557CFB" w:rsidRDefault="00223973" w:rsidP="0012209D">
            <w:r>
              <w:t>Interview</w:t>
            </w:r>
          </w:p>
        </w:tc>
      </w:tr>
      <w:tr w:rsidR="00013C10" w14:paraId="06242C0D" w14:textId="77777777" w:rsidTr="00013C10">
        <w:tc>
          <w:tcPr>
            <w:tcW w:w="1617" w:type="dxa"/>
          </w:tcPr>
          <w:p w14:paraId="5CAED434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3A0FBA6A" w14:textId="77777777" w:rsidR="00013C10" w:rsidRDefault="00223973" w:rsidP="004D7284">
            <w:r>
              <w:t>Working in a secure environment</w:t>
            </w:r>
          </w:p>
          <w:p w14:paraId="086F4117" w14:textId="77777777" w:rsidR="003D263E" w:rsidRDefault="003D263E" w:rsidP="004D7284"/>
          <w:p w14:paraId="2F20B4E5" w14:textId="77777777" w:rsidR="003D263E" w:rsidRPr="003D263E" w:rsidRDefault="003D263E" w:rsidP="004D7284">
            <w:pPr>
              <w:rPr>
                <w:szCs w:val="18"/>
              </w:rPr>
            </w:pPr>
            <w:r w:rsidRPr="003D263E">
              <w:rPr>
                <w:color w:val="000000"/>
                <w:szCs w:val="18"/>
              </w:rPr>
              <w:t>Demonstrate Southampton University behaviours (Embedding Collegiality – see below)</w:t>
            </w:r>
          </w:p>
        </w:tc>
        <w:tc>
          <w:tcPr>
            <w:tcW w:w="3402" w:type="dxa"/>
          </w:tcPr>
          <w:p w14:paraId="14C88F1C" w14:textId="77777777" w:rsidR="00013C10" w:rsidRDefault="00013C10" w:rsidP="0012209D"/>
        </w:tc>
        <w:tc>
          <w:tcPr>
            <w:tcW w:w="1330" w:type="dxa"/>
          </w:tcPr>
          <w:p w14:paraId="6D26D772" w14:textId="77777777" w:rsidR="00013C10" w:rsidRDefault="00954BC8" w:rsidP="0012209D">
            <w:r>
              <w:t>Interview</w:t>
            </w:r>
          </w:p>
        </w:tc>
      </w:tr>
    </w:tbl>
    <w:p w14:paraId="34BA971C" w14:textId="77777777" w:rsidR="00013C10" w:rsidRDefault="00013C10" w:rsidP="0012209D"/>
    <w:p w14:paraId="7543E356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48755619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874E0A9" w14:textId="77777777" w:rsidR="0012209D" w:rsidRDefault="0012209D" w:rsidP="0012209D">
      <w:pPr>
        <w:rPr>
          <w:b/>
          <w:bCs/>
        </w:rPr>
      </w:pPr>
    </w:p>
    <w:p w14:paraId="16DB9C99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2B5E1758" w14:textId="77777777" w:rsidTr="00D3349E">
        <w:tc>
          <w:tcPr>
            <w:tcW w:w="908" w:type="dxa"/>
          </w:tcPr>
          <w:p w14:paraId="02134DF6" w14:textId="77777777" w:rsidR="00D3349E" w:rsidRDefault="00656A64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39A28892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499EEE3" w14:textId="77777777" w:rsidTr="00D3349E">
        <w:tc>
          <w:tcPr>
            <w:tcW w:w="908" w:type="dxa"/>
          </w:tcPr>
          <w:p w14:paraId="53B24E54" w14:textId="77777777" w:rsidR="00D3349E" w:rsidRDefault="00656A6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A73D1AA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3F6F34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606E61DD" w14:textId="77777777" w:rsidR="00D3349E" w:rsidRDefault="00D3349E" w:rsidP="00E264FD"/>
    <w:p w14:paraId="05AD4E9B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64AD3253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3574FE83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37085D3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CA2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4BA9747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A7FE5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06194CD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55CA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49E01AE7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0C53AB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54C5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22E3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8E248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1D3D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739A0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6966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A054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C41D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A9E8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9FE6D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C01F4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7C96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B000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1C2D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F80D15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B879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12A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FE1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360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570F7E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BEB16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8B8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840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1A5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660E75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FA07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0731D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0F61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2B33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96A7EB2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8C3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095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3C0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EF5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2EE5A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558B25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889C0C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2D2D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46E8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610A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DCDF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9690C3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7B48F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FC42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8B0D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8383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C23F3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0764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ACB1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1AF3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F67A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623A1E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123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A3B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B1A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664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3FA19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00664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44CCA53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4280C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653C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C558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D8DE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B42300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EC1E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60D26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7546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91DE7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7E200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397A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28C0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6AC0A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6EBE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B63E19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9FEA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EAE2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0ECA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6B09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395925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D1B8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8D55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20BB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D4D2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647E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1C0BC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FD2B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82AB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EAD1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906F25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672C7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2077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8F16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595B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426CE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A8BCD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5DFFB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2743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443F7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D599AA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57A8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DEF8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FD3C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07DA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EA915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18E39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40DE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B72A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DB2A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B70B1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6A0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47B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3B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BD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3A44C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0A31E5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5DED00E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6CA3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DBEE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637E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E9FF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A5D78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48AA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BE47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D26C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90EB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20D813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49F8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ECCA28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84C8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002E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0B24020A" w14:textId="77777777" w:rsidR="00F01EA0" w:rsidRDefault="00F01EA0" w:rsidP="0012209D"/>
    <w:p w14:paraId="7F6EFD4A" w14:textId="77777777" w:rsidR="003D263E" w:rsidRDefault="003D263E" w:rsidP="003D263E">
      <w:pPr>
        <w:spacing w:after="0"/>
        <w:ind w:left="315"/>
        <w:rPr>
          <w:rFonts w:cs="Segoe UI"/>
          <w:color w:val="808080"/>
          <w:sz w:val="24"/>
          <w:szCs w:val="24"/>
        </w:rPr>
      </w:pPr>
    </w:p>
    <w:p w14:paraId="5FF800E8" w14:textId="77777777" w:rsidR="003D263E" w:rsidRDefault="003D263E" w:rsidP="003D263E">
      <w:pPr>
        <w:spacing w:after="0"/>
        <w:ind w:left="315"/>
        <w:rPr>
          <w:rFonts w:cs="Segoe UI"/>
          <w:color w:val="808080"/>
          <w:sz w:val="24"/>
          <w:szCs w:val="24"/>
        </w:rPr>
      </w:pPr>
    </w:p>
    <w:p w14:paraId="4847BC64" w14:textId="77777777" w:rsidR="003D263E" w:rsidRDefault="003D263E" w:rsidP="003D263E">
      <w:pPr>
        <w:spacing w:after="0"/>
        <w:ind w:left="315"/>
        <w:rPr>
          <w:rFonts w:cs="Segoe UI"/>
          <w:color w:val="808080"/>
          <w:sz w:val="24"/>
          <w:szCs w:val="24"/>
        </w:rPr>
      </w:pPr>
    </w:p>
    <w:p w14:paraId="031328B1" w14:textId="77777777" w:rsidR="003D263E" w:rsidRDefault="003D263E" w:rsidP="003D263E">
      <w:pPr>
        <w:spacing w:after="0"/>
        <w:ind w:left="315"/>
        <w:rPr>
          <w:rFonts w:cs="Segoe UI"/>
          <w:color w:val="808080"/>
          <w:sz w:val="32"/>
          <w:szCs w:val="32"/>
        </w:rPr>
      </w:pPr>
      <w:r w:rsidRPr="00516F89">
        <w:rPr>
          <w:rFonts w:cs="Segoe UI"/>
          <w:color w:val="808080"/>
          <w:sz w:val="24"/>
          <w:szCs w:val="24"/>
        </w:rPr>
        <w:lastRenderedPageBreak/>
        <w:t>Appendix 1. </w:t>
      </w:r>
      <w:r w:rsidRPr="00516F89">
        <w:rPr>
          <w:rFonts w:cs="Segoe UI"/>
          <w:color w:val="808080"/>
          <w:sz w:val="32"/>
          <w:szCs w:val="32"/>
        </w:rPr>
        <w:t>Embedding Collegiality </w:t>
      </w:r>
    </w:p>
    <w:p w14:paraId="110CB20B" w14:textId="77777777" w:rsidR="003D263E" w:rsidRPr="00516F89" w:rsidRDefault="003D263E" w:rsidP="003D263E">
      <w:pPr>
        <w:spacing w:after="0"/>
        <w:ind w:left="315"/>
        <w:rPr>
          <w:rFonts w:ascii="Segoe UI" w:hAnsi="Segoe UI" w:cs="Segoe UI"/>
          <w:szCs w:val="18"/>
        </w:rPr>
      </w:pPr>
    </w:p>
    <w:p w14:paraId="2F171C20" w14:textId="77777777" w:rsidR="003D263E" w:rsidRPr="00516F89" w:rsidRDefault="003D263E" w:rsidP="003D263E">
      <w:pPr>
        <w:spacing w:after="0"/>
        <w:ind w:left="315" w:right="750"/>
        <w:rPr>
          <w:rFonts w:ascii="Segoe UI" w:hAnsi="Segoe UI" w:cs="Segoe UI"/>
          <w:b/>
          <w:bCs/>
          <w:szCs w:val="18"/>
        </w:rPr>
      </w:pPr>
      <w:r w:rsidRPr="00516F89">
        <w:rPr>
          <w:rFonts w:cs="Segoe UI"/>
          <w:szCs w:val="18"/>
        </w:rPr>
        <w:t>Collegiality represents one of the four core principles of the University; Collegiality, Quality, Internationalisation and Sustainability. Our Southampton Behaviours set out our expectations of all staff across the University to support the achievement of our strategy.</w:t>
      </w:r>
      <w:r w:rsidRPr="00516F89">
        <w:rPr>
          <w:rFonts w:cs="Segoe UI"/>
          <w:b/>
          <w:bCs/>
          <w:szCs w:val="18"/>
        </w:rPr>
        <w:t> </w:t>
      </w:r>
    </w:p>
    <w:p w14:paraId="249ED716" w14:textId="77777777" w:rsidR="003D263E" w:rsidRPr="00516F89" w:rsidRDefault="003D263E" w:rsidP="003D263E">
      <w:pPr>
        <w:spacing w:after="0"/>
        <w:rPr>
          <w:rFonts w:ascii="Segoe UI" w:hAnsi="Segoe UI" w:cs="Segoe UI"/>
          <w:b/>
          <w:bCs/>
          <w:szCs w:val="18"/>
        </w:rPr>
      </w:pPr>
      <w:r w:rsidRPr="00516F89">
        <w:rPr>
          <w:rFonts w:ascii="Times New Roman" w:hAnsi="Times New Roman"/>
          <w:b/>
          <w:bCs/>
          <w:sz w:val="17"/>
          <w:szCs w:val="17"/>
        </w:rPr>
        <w:t> </w:t>
      </w:r>
    </w:p>
    <w:tbl>
      <w:tblPr>
        <w:tblW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784"/>
      </w:tblGrid>
      <w:tr w:rsidR="003D263E" w:rsidRPr="00516F89" w14:paraId="515CCA22" w14:textId="77777777" w:rsidTr="00C662FD">
        <w:trPr>
          <w:trHeight w:val="3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E2A33" w14:textId="77777777" w:rsidR="003D263E" w:rsidRPr="00516F89" w:rsidRDefault="003D263E" w:rsidP="00C662FD">
            <w:pPr>
              <w:spacing w:after="0"/>
              <w:ind w:lef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b/>
                <w:bCs/>
                <w:szCs w:val="18"/>
                <w:lang w:val="en-US"/>
              </w:rPr>
              <w:t>All staff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5E41C" w14:textId="77777777" w:rsidR="003D263E" w:rsidRPr="00516F89" w:rsidRDefault="003D263E" w:rsidP="00C662FD">
            <w:pPr>
              <w:spacing w:after="0"/>
              <w:ind w:right="3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Behaviour</w:t>
            </w:r>
          </w:p>
        </w:tc>
      </w:tr>
      <w:tr w:rsidR="003D263E" w:rsidRPr="00516F89" w14:paraId="4385A4FE" w14:textId="77777777" w:rsidTr="00C662FD">
        <w:trPr>
          <w:trHeight w:val="48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4713"/>
            <w:hideMark/>
          </w:tcPr>
          <w:p w14:paraId="6FC34A86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0"/>
              </w:rPr>
              <w:t> </w:t>
            </w:r>
          </w:p>
          <w:p w14:paraId="320EDE28" w14:textId="77777777" w:rsidR="003D263E" w:rsidRPr="00516F89" w:rsidRDefault="003D263E" w:rsidP="00C662FD">
            <w:pPr>
              <w:spacing w:after="0"/>
              <w:ind w:left="255" w:right="225" w:firstLine="105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Personal Leadership</w:t>
            </w:r>
            <w:r w:rsidRPr="00516F89">
              <w:rPr>
                <w:rFonts w:ascii="Arial" w:hAnsi="Arial" w:cs="Arial"/>
                <w:color w:val="FFFFFF"/>
                <w:szCs w:val="18"/>
              </w:rPr>
              <w:t>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6D7886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take personal responsibility for my own actions and an active approach towards my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  <w:p w14:paraId="25B59E46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development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32F15454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177BA3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F147A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reflect on my own</w:t>
            </w:r>
            <w:r w:rsidRPr="00516F89">
              <w:rPr>
                <w:rFonts w:ascii="Arial" w:hAnsi="Arial" w:cs="Arial"/>
                <w:szCs w:val="18"/>
              </w:rPr>
              <w:t> behaviour</w:t>
            </w:r>
            <w:r w:rsidRPr="00516F89">
              <w:rPr>
                <w:rFonts w:ascii="Arial" w:hAnsi="Arial" w:cs="Arial"/>
                <w:szCs w:val="18"/>
                <w:lang w:val="en-US"/>
              </w:rPr>
              <w:t>, actively seek feedback and adapt my</w:t>
            </w:r>
            <w:r w:rsidRPr="00516F89">
              <w:rPr>
                <w:rFonts w:ascii="Arial" w:hAnsi="Arial" w:cs="Arial"/>
                <w:szCs w:val="18"/>
              </w:rPr>
              <w:t> behaviour</w:t>
            </w:r>
            <w:r w:rsidRPr="00516F89">
              <w:rPr>
                <w:rFonts w:ascii="Arial" w:hAnsi="Arial" w:cs="Arial"/>
                <w:szCs w:val="18"/>
                <w:lang w:val="en-US"/>
              </w:rPr>
              <w:t> accordingly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7B8CB237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3CE358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A9617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show pride, passion and enthusiasm for our University community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1DBBBD6F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9DDB38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FDB45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demonstrate respect and build trust with an open and honest approach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49F0DBA3" w14:textId="77777777" w:rsidTr="00C662FD">
        <w:trPr>
          <w:trHeight w:val="300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65F1D39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D263E" w:rsidRPr="00516F89" w14:paraId="298A38FA" w14:textId="77777777" w:rsidTr="00C662FD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C84"/>
            <w:hideMark/>
          </w:tcPr>
          <w:p w14:paraId="3826E471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0"/>
              </w:rPr>
              <w:t> </w:t>
            </w:r>
          </w:p>
          <w:p w14:paraId="47168FED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3"/>
                <w:szCs w:val="23"/>
              </w:rPr>
              <w:t> </w:t>
            </w:r>
          </w:p>
          <w:p w14:paraId="479C5EE0" w14:textId="77777777" w:rsidR="003D263E" w:rsidRPr="00516F89" w:rsidRDefault="003D263E" w:rsidP="00C662FD">
            <w:pPr>
              <w:spacing w:after="0"/>
              <w:ind w:left="345" w:right="315" w:firstLine="3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Working Together</w:t>
            </w:r>
            <w:r w:rsidRPr="00516F89">
              <w:rPr>
                <w:rFonts w:ascii="Arial" w:hAnsi="Arial" w:cs="Arial"/>
                <w:color w:val="FFFFFF"/>
                <w:szCs w:val="18"/>
              </w:rPr>
              <w:t>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080CE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work collaboratively and build productive relationships across our University and beyond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01EFBFCB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B89601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F6D44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actively listen to others and communicate clearly and appropriately with everyone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24F56297" w14:textId="77777777" w:rsidTr="00C662FD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9D8C69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084CA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take an inclusive approach, value the differences that people bring and encourage others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  <w:p w14:paraId="429338C3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to contribute and flourish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3B846CC6" w14:textId="77777777" w:rsidTr="00C662FD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3F4D9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5194E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proactively work through challenge and conflict, considering others’ views to achieve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  <w:p w14:paraId="7B886B2C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positive and productive outcomes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5CDE6AED" w14:textId="77777777" w:rsidTr="00C662FD">
        <w:trPr>
          <w:trHeight w:val="300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24DC729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D263E" w:rsidRPr="00516F89" w14:paraId="0F4DD5A7" w14:textId="77777777" w:rsidTr="00C662FD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9D9E"/>
            <w:hideMark/>
          </w:tcPr>
          <w:p w14:paraId="5BB8E9AD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3"/>
                <w:szCs w:val="23"/>
              </w:rPr>
              <w:t> </w:t>
            </w:r>
          </w:p>
          <w:p w14:paraId="5FE97B0C" w14:textId="77777777" w:rsidR="003D263E" w:rsidRPr="00516F89" w:rsidRDefault="003D263E" w:rsidP="00C662FD">
            <w:pPr>
              <w:spacing w:after="0"/>
              <w:ind w:left="465" w:right="210" w:hanging="21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Developing Others</w:t>
            </w:r>
            <w:r w:rsidRPr="00516F89">
              <w:rPr>
                <w:rFonts w:ascii="Arial" w:hAnsi="Arial" w:cs="Arial"/>
                <w:color w:val="FFFFFF"/>
                <w:szCs w:val="18"/>
              </w:rPr>
              <w:t>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2561A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help to create an environment that engages and motivates others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6F0D7AC3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0A0F9B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58007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take time to support and enable people to be the best they can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63914C80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2B6C2B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1AC06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 </w:t>
            </w:r>
            <w:proofErr w:type="spellStart"/>
            <w:r w:rsidRPr="00516F89">
              <w:rPr>
                <w:rFonts w:ascii="Arial" w:hAnsi="Arial" w:cs="Arial"/>
                <w:szCs w:val="18"/>
                <w:lang w:val="en-US"/>
              </w:rPr>
              <w:t>recognise</w:t>
            </w:r>
            <w:proofErr w:type="spellEnd"/>
            <w:r w:rsidRPr="00516F89">
              <w:rPr>
                <w:rFonts w:ascii="Arial" w:hAnsi="Arial" w:cs="Arial"/>
                <w:szCs w:val="18"/>
                <w:lang w:val="en-US"/>
              </w:rPr>
              <w:t> and value others’ achievements, give praise and celebrate their success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489B3C4E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30C109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A5DBE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deliver balanced feedback to enable others to improve their contribution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7B2BB10C" w14:textId="77777777" w:rsidTr="00C662FD">
        <w:trPr>
          <w:trHeight w:val="300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066566F6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D263E" w:rsidRPr="00516F89" w14:paraId="78927583" w14:textId="77777777" w:rsidTr="00C662FD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7C3"/>
            <w:hideMark/>
          </w:tcPr>
          <w:p w14:paraId="563416B7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0"/>
              </w:rPr>
              <w:t> </w:t>
            </w:r>
          </w:p>
          <w:p w14:paraId="27583FFA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3"/>
                <w:szCs w:val="23"/>
              </w:rPr>
              <w:t> </w:t>
            </w:r>
          </w:p>
          <w:p w14:paraId="7F9B16F5" w14:textId="77777777" w:rsidR="003D263E" w:rsidRPr="00516F89" w:rsidRDefault="003D263E" w:rsidP="00C662FD">
            <w:pPr>
              <w:spacing w:after="0"/>
              <w:ind w:left="435" w:right="270" w:hanging="135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Delivering Quality</w:t>
            </w:r>
            <w:r w:rsidRPr="00516F89">
              <w:rPr>
                <w:rFonts w:ascii="Arial" w:hAnsi="Arial" w:cs="Arial"/>
                <w:color w:val="FFFFFF"/>
                <w:szCs w:val="18"/>
              </w:rPr>
              <w:t>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CBD98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identify opportunities and take action to be simply better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12E97A0F" w14:textId="77777777" w:rsidTr="00C662FD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B32830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98E2E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plan and </w:t>
            </w:r>
            <w:proofErr w:type="spellStart"/>
            <w:r w:rsidRPr="00516F89">
              <w:rPr>
                <w:rFonts w:ascii="Arial" w:hAnsi="Arial" w:cs="Arial"/>
                <w:szCs w:val="18"/>
                <w:lang w:val="en-US"/>
              </w:rPr>
              <w:t>prioritise</w:t>
            </w:r>
            <w:proofErr w:type="spellEnd"/>
            <w:r w:rsidRPr="00516F89">
              <w:rPr>
                <w:rFonts w:ascii="Arial" w:hAnsi="Arial" w:cs="Arial"/>
                <w:szCs w:val="18"/>
                <w:lang w:val="en-US"/>
              </w:rPr>
              <w:t> efficiently and effectively, taking account of people, processes and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  <w:p w14:paraId="20706543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resources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395C0FAD" w14:textId="77777777" w:rsidTr="00C662FD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FC4633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1DE792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am accountable, for tackling issues, making difficult decisions and seeing them through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  <w:p w14:paraId="2449AC19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to conclusion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4CF81604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D23C76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641D2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encourage creativity and innovation to deliver workable solutions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6F7017C7" w14:textId="77777777" w:rsidTr="00C662FD">
        <w:trPr>
          <w:trHeight w:val="300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47173B0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D263E" w:rsidRPr="00516F89" w14:paraId="2CCF5DCB" w14:textId="77777777" w:rsidTr="00C662FD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1616E"/>
            <w:hideMark/>
          </w:tcPr>
          <w:p w14:paraId="3A4D1C43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0"/>
              </w:rPr>
              <w:t> </w:t>
            </w:r>
          </w:p>
          <w:p w14:paraId="3B4210A1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084C59B" w14:textId="77777777" w:rsidR="003D263E" w:rsidRPr="00516F89" w:rsidRDefault="003D263E" w:rsidP="00C662FD">
            <w:pPr>
              <w:spacing w:after="0"/>
              <w:ind w:left="150" w:right="105" w:firstLine="27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Driving Sustainability</w:t>
            </w:r>
            <w:r w:rsidRPr="00516F89">
              <w:rPr>
                <w:rFonts w:ascii="Arial" w:hAnsi="Arial" w:cs="Arial"/>
                <w:color w:val="FFFFFF"/>
                <w:szCs w:val="18"/>
              </w:rPr>
              <w:t>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DB256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consider the impact on people before taking decisions or actions that may affect them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181ACDDF" w14:textId="77777777" w:rsidTr="00C662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4DF257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6B2EC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embrace, enable and embed change effectively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13AB5ABE" w14:textId="77777777" w:rsidTr="00C662FD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589816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F670B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regularly take account of external and internal factors, assessing the need to change and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  <w:p w14:paraId="3BB11625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gaining support to move forward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  <w:tr w:rsidR="003D263E" w:rsidRPr="00516F89" w14:paraId="7D926C69" w14:textId="77777777" w:rsidTr="00C662FD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C4E193" w14:textId="77777777" w:rsidR="003D263E" w:rsidRPr="00516F89" w:rsidRDefault="003D263E" w:rsidP="00C6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0E80DF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I take time to understand our University vision and direction and communicate this to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  <w:p w14:paraId="5A72B4E4" w14:textId="77777777" w:rsidR="003D263E" w:rsidRPr="00516F89" w:rsidRDefault="003D263E" w:rsidP="00C662FD">
            <w:pPr>
              <w:spacing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16F89">
              <w:rPr>
                <w:rFonts w:ascii="Arial" w:hAnsi="Arial" w:cs="Arial"/>
                <w:szCs w:val="18"/>
                <w:lang w:val="en-US"/>
              </w:rPr>
              <w:t>others</w:t>
            </w:r>
            <w:r w:rsidRPr="00516F89">
              <w:rPr>
                <w:rFonts w:ascii="Arial" w:hAnsi="Arial" w:cs="Arial"/>
                <w:szCs w:val="18"/>
              </w:rPr>
              <w:t> </w:t>
            </w:r>
          </w:p>
        </w:tc>
      </w:tr>
    </w:tbl>
    <w:p w14:paraId="7555F353" w14:textId="77777777" w:rsidR="003D263E" w:rsidRPr="00516F89" w:rsidRDefault="003D263E" w:rsidP="003D263E">
      <w:pPr>
        <w:spacing w:after="0"/>
        <w:rPr>
          <w:rFonts w:ascii="Segoe UI" w:hAnsi="Segoe UI" w:cs="Segoe UI"/>
          <w:b/>
          <w:bCs/>
          <w:szCs w:val="18"/>
        </w:rPr>
      </w:pPr>
      <w:r w:rsidRPr="00516F89">
        <w:rPr>
          <w:rFonts w:ascii="Times New Roman" w:hAnsi="Times New Roman"/>
          <w:b/>
          <w:bCs/>
          <w:sz w:val="28"/>
          <w:szCs w:val="28"/>
        </w:rPr>
        <w:t> </w:t>
      </w:r>
    </w:p>
    <w:p w14:paraId="7D64A8AA" w14:textId="77777777" w:rsidR="003D263E" w:rsidRPr="00516F89" w:rsidRDefault="003D263E" w:rsidP="003D263E">
      <w:pPr>
        <w:spacing w:after="0"/>
        <w:rPr>
          <w:rFonts w:ascii="Segoe UI" w:hAnsi="Segoe UI" w:cs="Segoe UI"/>
          <w:szCs w:val="18"/>
        </w:rPr>
      </w:pPr>
      <w:r w:rsidRPr="00516F89">
        <w:rPr>
          <w:rFonts w:cs="Segoe UI"/>
          <w:szCs w:val="18"/>
        </w:rPr>
        <w:t> </w:t>
      </w:r>
    </w:p>
    <w:p w14:paraId="19A78928" w14:textId="77777777" w:rsidR="003D263E" w:rsidRDefault="003D263E" w:rsidP="003D263E"/>
    <w:p w14:paraId="4B457FB3" w14:textId="77777777" w:rsidR="003D263E" w:rsidRPr="0012209D" w:rsidRDefault="003D263E" w:rsidP="0012209D"/>
    <w:sectPr w:rsidR="003D263E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E9A6" w14:textId="77777777" w:rsidR="001873B6" w:rsidRDefault="001873B6">
      <w:r>
        <w:separator/>
      </w:r>
    </w:p>
    <w:p w14:paraId="08EE6D3C" w14:textId="77777777" w:rsidR="001873B6" w:rsidRDefault="001873B6"/>
  </w:endnote>
  <w:endnote w:type="continuationSeparator" w:id="0">
    <w:p w14:paraId="068C5560" w14:textId="77777777" w:rsidR="001873B6" w:rsidRDefault="001873B6">
      <w:r>
        <w:continuationSeparator/>
      </w:r>
    </w:p>
    <w:p w14:paraId="50B3E571" w14:textId="77777777" w:rsidR="001873B6" w:rsidRDefault="00187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58AB" w14:textId="77777777" w:rsidR="00062768" w:rsidRDefault="00563308" w:rsidP="00E804B0">
    <w:pPr>
      <w:pStyle w:val="ContinuationFooter"/>
    </w:pPr>
    <w:fldSimple w:instr=" FILENAME   \* MERGEFORMAT ">
      <w:r w:rsidR="00C5788D">
        <w:t>MSA Level 1b_SpecCollsReceptionist.docx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A5A17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CA66" w14:textId="77777777" w:rsidR="001873B6" w:rsidRDefault="001873B6">
      <w:r>
        <w:separator/>
      </w:r>
    </w:p>
    <w:p w14:paraId="04A172C4" w14:textId="77777777" w:rsidR="001873B6" w:rsidRDefault="001873B6"/>
  </w:footnote>
  <w:footnote w:type="continuationSeparator" w:id="0">
    <w:p w14:paraId="190DDC23" w14:textId="77777777" w:rsidR="001873B6" w:rsidRDefault="001873B6">
      <w:r>
        <w:continuationSeparator/>
      </w:r>
    </w:p>
    <w:p w14:paraId="43C2EB01" w14:textId="77777777" w:rsidR="001873B6" w:rsidRDefault="00187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F54748F" w14:textId="77777777" w:rsidTr="00854B1E">
      <w:trPr>
        <w:trHeight w:hRule="exact" w:val="227"/>
      </w:trPr>
      <w:tc>
        <w:tcPr>
          <w:tcW w:w="9639" w:type="dxa"/>
        </w:tcPr>
        <w:p w14:paraId="43DD640F" w14:textId="77777777" w:rsidR="00062768" w:rsidRDefault="00062768" w:rsidP="0029789A">
          <w:pPr>
            <w:pStyle w:val="Header"/>
          </w:pPr>
        </w:p>
      </w:tc>
    </w:tr>
    <w:tr w:rsidR="00062768" w14:paraId="08B21D60" w14:textId="77777777" w:rsidTr="00013C10">
      <w:trPr>
        <w:trHeight w:val="1183"/>
      </w:trPr>
      <w:tc>
        <w:tcPr>
          <w:tcW w:w="9639" w:type="dxa"/>
        </w:tcPr>
        <w:p w14:paraId="06085504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698A5FE3" wp14:editId="7C8D6C3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1D91B7" w14:textId="77777777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6D6BE8E7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437A3"/>
    <w:multiLevelType w:val="hybridMultilevel"/>
    <w:tmpl w:val="3AD43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64654"/>
    <w:multiLevelType w:val="hybridMultilevel"/>
    <w:tmpl w:val="446A28BE"/>
    <w:lvl w:ilvl="0" w:tplc="C6961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B35A6"/>
    <w:multiLevelType w:val="hybridMultilevel"/>
    <w:tmpl w:val="CBBE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AC61ED"/>
    <w:multiLevelType w:val="hybridMultilevel"/>
    <w:tmpl w:val="AA12ED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46910">
    <w:abstractNumId w:val="21"/>
  </w:num>
  <w:num w:numId="2" w16cid:durableId="1183860136">
    <w:abstractNumId w:val="0"/>
  </w:num>
  <w:num w:numId="3" w16cid:durableId="1581866388">
    <w:abstractNumId w:val="16"/>
  </w:num>
  <w:num w:numId="4" w16cid:durableId="553666370">
    <w:abstractNumId w:val="12"/>
  </w:num>
  <w:num w:numId="5" w16cid:durableId="108396722">
    <w:abstractNumId w:val="13"/>
  </w:num>
  <w:num w:numId="6" w16cid:durableId="425926000">
    <w:abstractNumId w:val="10"/>
  </w:num>
  <w:num w:numId="7" w16cid:durableId="1510409101">
    <w:abstractNumId w:val="4"/>
  </w:num>
  <w:num w:numId="8" w16cid:durableId="2029213823">
    <w:abstractNumId w:val="7"/>
  </w:num>
  <w:num w:numId="9" w16cid:durableId="789128601">
    <w:abstractNumId w:val="2"/>
  </w:num>
  <w:num w:numId="10" w16cid:durableId="146871139">
    <w:abstractNumId w:val="11"/>
  </w:num>
  <w:num w:numId="11" w16cid:durableId="1806852776">
    <w:abstractNumId w:val="5"/>
  </w:num>
  <w:num w:numId="12" w16cid:durableId="446244229">
    <w:abstractNumId w:val="17"/>
  </w:num>
  <w:num w:numId="13" w16cid:durableId="1734809262">
    <w:abstractNumId w:val="18"/>
  </w:num>
  <w:num w:numId="14" w16cid:durableId="1096365154">
    <w:abstractNumId w:val="9"/>
  </w:num>
  <w:num w:numId="15" w16cid:durableId="758718757">
    <w:abstractNumId w:val="3"/>
  </w:num>
  <w:num w:numId="16" w16cid:durableId="1877305140">
    <w:abstractNumId w:val="14"/>
  </w:num>
  <w:num w:numId="17" w16cid:durableId="988826434">
    <w:abstractNumId w:val="15"/>
  </w:num>
  <w:num w:numId="18" w16cid:durableId="723066199">
    <w:abstractNumId w:val="19"/>
  </w:num>
  <w:num w:numId="19" w16cid:durableId="1760759688">
    <w:abstractNumId w:val="6"/>
  </w:num>
  <w:num w:numId="20" w16cid:durableId="2121103068">
    <w:abstractNumId w:val="1"/>
  </w:num>
  <w:num w:numId="21" w16cid:durableId="589461340">
    <w:abstractNumId w:val="8"/>
  </w:num>
  <w:num w:numId="22" w16cid:durableId="1557204155">
    <w:abstractNumId w:val="20"/>
  </w:num>
  <w:num w:numId="23" w16cid:durableId="73571039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A4EF4"/>
    <w:rsid w:val="000B1DED"/>
    <w:rsid w:val="000B4E5A"/>
    <w:rsid w:val="000D6808"/>
    <w:rsid w:val="000F053B"/>
    <w:rsid w:val="000F78E7"/>
    <w:rsid w:val="0012209D"/>
    <w:rsid w:val="001532E2"/>
    <w:rsid w:val="00156F2F"/>
    <w:rsid w:val="0018144C"/>
    <w:rsid w:val="001840EA"/>
    <w:rsid w:val="001873B6"/>
    <w:rsid w:val="001A7A7C"/>
    <w:rsid w:val="001B6986"/>
    <w:rsid w:val="001C5C5C"/>
    <w:rsid w:val="001D0B37"/>
    <w:rsid w:val="001D5201"/>
    <w:rsid w:val="001E24BE"/>
    <w:rsid w:val="001F687C"/>
    <w:rsid w:val="00205458"/>
    <w:rsid w:val="00207BF2"/>
    <w:rsid w:val="00223973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549E"/>
    <w:rsid w:val="003178D9"/>
    <w:rsid w:val="0034151E"/>
    <w:rsid w:val="00364B2C"/>
    <w:rsid w:val="003701F7"/>
    <w:rsid w:val="003B0262"/>
    <w:rsid w:val="003B7540"/>
    <w:rsid w:val="003D263E"/>
    <w:rsid w:val="003F2D1F"/>
    <w:rsid w:val="004263FE"/>
    <w:rsid w:val="00432FA4"/>
    <w:rsid w:val="00463797"/>
    <w:rsid w:val="00474D00"/>
    <w:rsid w:val="004B2A50"/>
    <w:rsid w:val="004C0252"/>
    <w:rsid w:val="004D7284"/>
    <w:rsid w:val="0051744C"/>
    <w:rsid w:val="00524005"/>
    <w:rsid w:val="00541CE0"/>
    <w:rsid w:val="00547192"/>
    <w:rsid w:val="005534E1"/>
    <w:rsid w:val="00557CFB"/>
    <w:rsid w:val="00563308"/>
    <w:rsid w:val="00573487"/>
    <w:rsid w:val="00580CBF"/>
    <w:rsid w:val="005907B3"/>
    <w:rsid w:val="005949FA"/>
    <w:rsid w:val="005D44D1"/>
    <w:rsid w:val="005E03E0"/>
    <w:rsid w:val="006249FD"/>
    <w:rsid w:val="006453F9"/>
    <w:rsid w:val="00651280"/>
    <w:rsid w:val="00656A64"/>
    <w:rsid w:val="00680547"/>
    <w:rsid w:val="00680748"/>
    <w:rsid w:val="00695D76"/>
    <w:rsid w:val="006B1AF6"/>
    <w:rsid w:val="006F44EB"/>
    <w:rsid w:val="0070376B"/>
    <w:rsid w:val="00721B1E"/>
    <w:rsid w:val="00761108"/>
    <w:rsid w:val="00770409"/>
    <w:rsid w:val="0078287B"/>
    <w:rsid w:val="0079197B"/>
    <w:rsid w:val="00791A2A"/>
    <w:rsid w:val="007A3192"/>
    <w:rsid w:val="007C22CC"/>
    <w:rsid w:val="007C6FAA"/>
    <w:rsid w:val="007E2D19"/>
    <w:rsid w:val="007F2AEA"/>
    <w:rsid w:val="00813365"/>
    <w:rsid w:val="00813A2C"/>
    <w:rsid w:val="0082020C"/>
    <w:rsid w:val="0082075E"/>
    <w:rsid w:val="00836139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20F"/>
    <w:rsid w:val="009464AF"/>
    <w:rsid w:val="00954BC8"/>
    <w:rsid w:val="00954E47"/>
    <w:rsid w:val="00965BFB"/>
    <w:rsid w:val="00970E28"/>
    <w:rsid w:val="0098120F"/>
    <w:rsid w:val="00996476"/>
    <w:rsid w:val="009A0F21"/>
    <w:rsid w:val="009D4FD7"/>
    <w:rsid w:val="00A021B7"/>
    <w:rsid w:val="00A131D9"/>
    <w:rsid w:val="00A14888"/>
    <w:rsid w:val="00A156F3"/>
    <w:rsid w:val="00A23226"/>
    <w:rsid w:val="00A34296"/>
    <w:rsid w:val="00A521A9"/>
    <w:rsid w:val="00A52ABF"/>
    <w:rsid w:val="00A925C0"/>
    <w:rsid w:val="00AA3CB5"/>
    <w:rsid w:val="00AB7097"/>
    <w:rsid w:val="00AC2B17"/>
    <w:rsid w:val="00AE1CA0"/>
    <w:rsid w:val="00AE39DC"/>
    <w:rsid w:val="00AE4DC4"/>
    <w:rsid w:val="00B271EE"/>
    <w:rsid w:val="00B430BB"/>
    <w:rsid w:val="00B84C12"/>
    <w:rsid w:val="00BB4A42"/>
    <w:rsid w:val="00BB7845"/>
    <w:rsid w:val="00BF1CC6"/>
    <w:rsid w:val="00C47485"/>
    <w:rsid w:val="00C5788D"/>
    <w:rsid w:val="00C907D0"/>
    <w:rsid w:val="00CA11F7"/>
    <w:rsid w:val="00CA5A17"/>
    <w:rsid w:val="00CA67F3"/>
    <w:rsid w:val="00CB1F23"/>
    <w:rsid w:val="00CC2000"/>
    <w:rsid w:val="00CD04F0"/>
    <w:rsid w:val="00CE3A26"/>
    <w:rsid w:val="00D16D9D"/>
    <w:rsid w:val="00D3349E"/>
    <w:rsid w:val="00D37315"/>
    <w:rsid w:val="00D42B36"/>
    <w:rsid w:val="00D54AA2"/>
    <w:rsid w:val="00D55315"/>
    <w:rsid w:val="00D5587F"/>
    <w:rsid w:val="00D65B56"/>
    <w:rsid w:val="00D67D41"/>
    <w:rsid w:val="00E25775"/>
    <w:rsid w:val="00E264FD"/>
    <w:rsid w:val="00E35DA8"/>
    <w:rsid w:val="00E363B8"/>
    <w:rsid w:val="00E63AC1"/>
    <w:rsid w:val="00E63EAD"/>
    <w:rsid w:val="00E804B0"/>
    <w:rsid w:val="00E837C3"/>
    <w:rsid w:val="00E96015"/>
    <w:rsid w:val="00EA62BD"/>
    <w:rsid w:val="00ED2E52"/>
    <w:rsid w:val="00F01EA0"/>
    <w:rsid w:val="00F378D2"/>
    <w:rsid w:val="00F52005"/>
    <w:rsid w:val="00F73308"/>
    <w:rsid w:val="00F85DED"/>
    <w:rsid w:val="00F90F90"/>
    <w:rsid w:val="00FA2B56"/>
    <w:rsid w:val="00FB0263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506ED28"/>
  <w15:docId w15:val="{2AF2078B-FB0C-4216-8649-7A8A0D97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61559-0935-42BE-BC92-0B9CD2E6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Karen Robson</cp:lastModifiedBy>
  <cp:revision>2</cp:revision>
  <cp:lastPrinted>2021-06-04T16:30:00Z</cp:lastPrinted>
  <dcterms:created xsi:type="dcterms:W3CDTF">2024-07-29T15:44:00Z</dcterms:created>
  <dcterms:modified xsi:type="dcterms:W3CDTF">2024-07-29T15:44:00Z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